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Satan</w:t>
      </w:r>
      <w:r>
        <w:rPr>
          <w:rFonts w:ascii="Times New Roman" w:hAnsi="Times New Roman" w:hint="default"/>
          <w:sz w:val="48"/>
          <w:szCs w:val="48"/>
          <w:u w:val="single"/>
          <w:rtl w:val="0"/>
          <w:lang w:val="en-US"/>
        </w:rPr>
        <w:t>’</w:t>
      </w: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s Fury Against the Church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(Revelation 12)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Feeling &amp; Fighting the Fury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Understanding the Woman, the Child &amp; the Dragon (1-6)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Reason for Satanic Rage (7-13)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Method of Christian Warfare (11, 14-17)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 xml:space="preserve">Keeping Christ Central to Resist &amp; Repel the Devil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